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-128266</wp:posOffset>
            </wp:positionH>
            <wp:positionV relativeFrom="paragraph">
              <wp:posOffset>0</wp:posOffset>
            </wp:positionV>
            <wp:extent cx="2905760" cy="144653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1446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highlight w:val="yellow"/>
          <w:rtl w:val="0"/>
        </w:rPr>
        <w:t xml:space="preserve">Galen’s Grocer: The Musical</w:t>
      </w:r>
      <w:r w:rsidDel="00000000" w:rsidR="00000000" w:rsidRPr="00000000">
        <w:rPr>
          <w:rtl w:val="0"/>
        </w:rPr>
        <w:br w:type="textWrapping"/>
        <w:t xml:space="preserve">Access Guide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June 30 - July 12, 2026</w:t>
      </w:r>
    </w:p>
    <w:p w:rsidR="00000000" w:rsidDel="00000000" w:rsidP="00000000" w:rsidRDefault="00000000" w:rsidRPr="00000000" w14:paraId="0000001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Theatre Passe Muraille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  <w:sectPr>
          <w:footerReference r:id="rId8" w:type="default"/>
          <w:footerReference r:id="rId9" w:type="even"/>
          <w:pgSz w:h="15840" w:w="12240" w:orient="portrait"/>
          <w:pgMar w:bottom="1440" w:top="628" w:left="1440" w:right="1440" w:header="706" w:footer="706"/>
          <w:pgNumType w:start="1"/>
        </w:sectPr>
      </w:pPr>
      <w:r w:rsidDel="00000000" w:rsidR="00000000" w:rsidRPr="00000000">
        <w:rPr>
          <w:rtl w:val="0"/>
        </w:rPr>
        <w:t xml:space="preserve">This guide uses plain language to provide audiences, particularly neurodiverse audiences, with specific sensory details of programming in advance to help guide your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About </w:t>
      </w:r>
      <w:r w:rsidDel="00000000" w:rsidR="00000000" w:rsidRPr="00000000">
        <w:rPr>
          <w:highlight w:val="yellow"/>
          <w:rtl w:val="0"/>
        </w:rPr>
        <w:t xml:space="preserve">Galen’s Grocer: The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Galen Easton is the most hated man in Canada. It doesn't help that there's a CEO Killer on the loose.</w:t>
      </w:r>
    </w:p>
    <w:p w:rsidR="00000000" w:rsidDel="00000000" w:rsidP="00000000" w:rsidRDefault="00000000" w:rsidRPr="00000000" w14:paraId="00000024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Galen needs to improve his public image fast.</w:t>
      </w:r>
    </w:p>
    <w:p w:rsidR="00000000" w:rsidDel="00000000" w:rsidP="00000000" w:rsidRDefault="00000000" w:rsidRPr="00000000" w14:paraId="00000026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He'll try by making a TV sitcom about how hard it is to run a grocery store: Galen's Grocer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heading=h.m8huxn3t6dm8" w:id="0"/>
      <w:bookmarkEnd w:id="0"/>
      <w:r w:rsidDel="00000000" w:rsidR="00000000" w:rsidRPr="00000000">
        <w:rPr>
          <w:rtl w:val="0"/>
        </w:rPr>
        <w:t xml:space="preserve">Run Time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highlight w:val="yellow"/>
          <w:rtl w:val="0"/>
        </w:rPr>
        <w:t xml:space="preserve">60 </w:t>
      </w:r>
      <w:r w:rsidDel="00000000" w:rsidR="00000000" w:rsidRPr="00000000">
        <w:rPr>
          <w:rtl w:val="0"/>
        </w:rPr>
        <w:t xml:space="preserve">minutes with no intermission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  <w:sectPr>
          <w:type w:val="nextPage"/>
          <w:pgSz w:h="15840" w:w="12240" w:orient="portrait"/>
          <w:pgMar w:bottom="1440" w:top="1440" w:left="1440" w:right="1440" w:header="706" w:footer="70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Get in Touch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address is: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100 Broadview Avenue, Suite 300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Toronto, ON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M4M 3H3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email address is:</w:t>
      </w:r>
    </w:p>
    <w:p w:rsidR="00000000" w:rsidDel="00000000" w:rsidP="00000000" w:rsidRDefault="00000000" w:rsidRPr="00000000" w14:paraId="00000034">
      <w:pPr>
        <w:rPr/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access@fringetoronto.com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phone number is: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416-966-1062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Thank you for coming to the 2026 Toronto Fringe Festival.</w:t>
      </w:r>
    </w:p>
    <w:sectPr>
      <w:type w:val="nextPage"/>
      <w:pgSz w:h="15840" w:w="12240" w:orient="portrait"/>
      <w:pgMar w:bottom="1440" w:top="1440" w:left="1440" w:right="1440" w:header="706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8"/>
        <w:szCs w:val="28"/>
        <w:lang w:val="en_CA"/>
      </w:rPr>
    </w:rPrDefault>
    <w:pPrDefault>
      <w:pPr>
        <w:shd w:fill="fefefe" w:val="clea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300" w:before="360" w:lineRule="auto"/>
    </w:pPr>
    <w:rPr>
      <w:rFonts w:ascii="Helvetica Neue" w:cs="Helvetica Neue" w:eastAsia="Helvetica Neue" w:hAnsi="Helvetica Neue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access@fringetoronto.com" TargetMode="Externa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2cv0RjAUMZwV7q0M0iQ/8vHS/g==">CgMxLjAyDmgubThodXhuM3Q2ZG04OAByITFsSHJGUXE4OV9VX3d4c2lqUzlKZ2JHMlNIdktiY29acg==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